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EF" w:rsidRDefault="00787BEF" w:rsidP="00787BEF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  <w:bookmarkStart w:id="0" w:name="_GoBack"/>
      <w:bookmarkEnd w:id="0"/>
    </w:p>
    <w:p w:rsidR="00787BEF" w:rsidRPr="006B2A59" w:rsidRDefault="00787BEF" w:rsidP="00787BEF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ZMLUV</w:t>
      </w:r>
      <w:r w:rsidRPr="006B2A59">
        <w:rPr>
          <w:b/>
          <w:snapToGrid w:val="0"/>
        </w:rPr>
        <w:t>A</w:t>
      </w:r>
    </w:p>
    <w:p w:rsidR="00787BEF" w:rsidRDefault="00787BEF" w:rsidP="00787BEF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  <w:r w:rsidRPr="00222ABC">
        <w:rPr>
          <w:rFonts w:eastAsia="Arial Unicode MS"/>
          <w:b/>
          <w:bCs/>
          <w:color w:val="auto"/>
          <w:lang w:eastAsia="cs-CZ"/>
        </w:rPr>
        <w:t>č. XXXX/SS/2014</w:t>
      </w:r>
    </w:p>
    <w:p w:rsidR="00787BEF" w:rsidRPr="00222ABC" w:rsidRDefault="00787BEF" w:rsidP="00787BEF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</w:p>
    <w:p w:rsidR="00787BEF" w:rsidRPr="006B2A59" w:rsidRDefault="00787BEF" w:rsidP="00787BEF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iCs/>
          <w:color w:val="auto"/>
        </w:rPr>
        <w:t>o poskytnutí dotácie v pôsobnosti Úradu pre Slovákov žijúcich v zahraničí</w:t>
      </w:r>
      <w:r w:rsidRPr="006B2A59">
        <w:rPr>
          <w:rFonts w:eastAsia="Arial Unicode MS"/>
          <w:b/>
          <w:color w:val="auto"/>
        </w:rPr>
        <w:t xml:space="preserve"> </w:t>
      </w:r>
    </w:p>
    <w:p w:rsidR="00787BEF" w:rsidRDefault="00787BEF" w:rsidP="00787BEF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>z rozpočtu Úradu pre Slovákov žijúcich v</w:t>
      </w:r>
      <w:r>
        <w:rPr>
          <w:rFonts w:eastAsia="Arial Unicode MS"/>
          <w:b/>
          <w:color w:val="auto"/>
        </w:rPr>
        <w:t> </w:t>
      </w:r>
      <w:r w:rsidRPr="006B2A59">
        <w:rPr>
          <w:rFonts w:eastAsia="Arial Unicode MS"/>
          <w:b/>
          <w:color w:val="auto"/>
        </w:rPr>
        <w:t>zahraničí</w:t>
      </w:r>
    </w:p>
    <w:p w:rsidR="00787BEF" w:rsidRPr="006B2A59" w:rsidRDefault="00787BEF" w:rsidP="00787BEF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uzatvorená podľa § 51 a nasl. Občianskeho zákonníka, podľa § 5 a § 6 zákona</w:t>
      </w:r>
      <w:r w:rsidRPr="006B2A59">
        <w:rPr>
          <w:iCs/>
          <w:color w:val="auto"/>
          <w:lang w:eastAsia="cs-CZ"/>
        </w:rPr>
        <w:t xml:space="preserve"> č. 474/2005 Z. z. o Slovákoch žijúcich v zahraničí a o zmene a doplnení niektorých zákonov a podľa § 8a zákona č. 523/2004 Z. z. o rozpočtových pravidlách verejnej správy a o zmene a doplnení niektorých zákonov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medzi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787BEF" w:rsidRPr="007A4D9D" w:rsidRDefault="00787BEF" w:rsidP="00787BEF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7A4D9D">
        <w:rPr>
          <w:color w:val="auto"/>
          <w:lang w:eastAsia="cs-CZ"/>
        </w:rPr>
        <w:t>Názov:</w:t>
      </w:r>
      <w:r w:rsidRPr="007A4D9D">
        <w:rPr>
          <w:color w:val="auto"/>
          <w:lang w:eastAsia="cs-CZ"/>
        </w:rPr>
        <w:tab/>
      </w:r>
      <w:r w:rsidRPr="007A4D9D">
        <w:rPr>
          <w:color w:val="auto"/>
          <w:lang w:eastAsia="cs-CZ"/>
        </w:rPr>
        <w:tab/>
      </w:r>
      <w:r w:rsidRPr="007A4D9D">
        <w:rPr>
          <w:bCs/>
          <w:color w:val="auto"/>
          <w:lang w:eastAsia="cs-CZ"/>
        </w:rPr>
        <w:t>Úrad pre Slovákov žijúcich v zahraničí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Sídlo:</w:t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  <w:t>Radlinského 13, 817 80 Bratislava 15, Slovenská republika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Zastúpený: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RNDr. Igor Furdík, predseda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IČO: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30798868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Bankové spojenie:</w:t>
      </w:r>
      <w:r w:rsidRPr="006B2A59">
        <w:rPr>
          <w:bCs/>
          <w:color w:val="auto"/>
          <w:lang w:eastAsia="cs-CZ"/>
        </w:rPr>
        <w:tab/>
        <w:t>Štátna pokladnica, Bratislava</w:t>
      </w:r>
    </w:p>
    <w:p w:rsidR="007A4D9D" w:rsidRPr="007A4D9D" w:rsidRDefault="007A4D9D" w:rsidP="007A4D9D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7A4D9D">
        <w:rPr>
          <w:bCs/>
          <w:color w:val="auto"/>
          <w:lang w:eastAsia="cs-CZ"/>
        </w:rPr>
        <w:t xml:space="preserve">IBAN: </w:t>
      </w:r>
      <w:r w:rsidRPr="007A4D9D">
        <w:rPr>
          <w:bCs/>
          <w:color w:val="auto"/>
          <w:lang w:eastAsia="cs-CZ"/>
        </w:rPr>
        <w:tab/>
      </w:r>
      <w:r>
        <w:rPr>
          <w:bCs/>
          <w:color w:val="auto"/>
          <w:lang w:eastAsia="cs-CZ"/>
        </w:rPr>
        <w:tab/>
      </w:r>
      <w:r w:rsidRPr="007A4D9D">
        <w:rPr>
          <w:bCs/>
          <w:color w:val="auto"/>
          <w:lang w:eastAsia="cs-CZ"/>
        </w:rPr>
        <w:t xml:space="preserve">SK 13 8180 0000 0070 0045 7352 </w:t>
      </w:r>
    </w:p>
    <w:p w:rsidR="007A4D9D" w:rsidRDefault="007A4D9D" w:rsidP="007A4D9D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7A4D9D">
        <w:rPr>
          <w:bCs/>
          <w:color w:val="auto"/>
          <w:lang w:eastAsia="cs-CZ"/>
        </w:rPr>
        <w:t xml:space="preserve">SWIFT: </w:t>
      </w:r>
      <w:r w:rsidRPr="007A4D9D">
        <w:rPr>
          <w:bCs/>
          <w:color w:val="auto"/>
          <w:lang w:eastAsia="cs-CZ"/>
        </w:rPr>
        <w:tab/>
      </w:r>
      <w:r w:rsidRPr="007A4D9D">
        <w:rPr>
          <w:bCs/>
          <w:color w:val="auto"/>
          <w:lang w:eastAsia="cs-CZ"/>
        </w:rPr>
        <w:tab/>
        <w:t xml:space="preserve">SUBASKBX </w:t>
      </w:r>
    </w:p>
    <w:p w:rsidR="00787BEF" w:rsidRPr="007A4D9D" w:rsidRDefault="00787BEF" w:rsidP="007A4D9D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7A4D9D">
        <w:rPr>
          <w:bCs/>
          <w:color w:val="auto"/>
          <w:lang w:eastAsia="cs-CZ"/>
        </w:rPr>
        <w:t>(ďalej len „poskytovateľ“)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a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 xml:space="preserve">Alternatíva A – prijímateľ je právnickou osobou 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Názov:</w:t>
      </w:r>
    </w:p>
    <w:p w:rsidR="00787BEF" w:rsidRPr="006B2A59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Sídlo: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Registrácia: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účtu:</w:t>
      </w:r>
    </w:p>
    <w:p w:rsidR="00787BEF" w:rsidRPr="006B2A59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IBAN:</w:t>
      </w:r>
    </w:p>
    <w:p w:rsidR="00787BEF" w:rsidRPr="006B2A59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 kód:</w:t>
      </w:r>
    </w:p>
    <w:p w:rsidR="007A4D9D" w:rsidRDefault="007A4D9D" w:rsidP="00787BEF">
      <w:pPr>
        <w:spacing w:after="0" w:line="240" w:lineRule="auto"/>
        <w:ind w:left="23"/>
        <w:jc w:val="both"/>
        <w:rPr>
          <w:i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i/>
          <w:color w:val="auto"/>
          <w:lang w:eastAsia="cs-CZ"/>
        </w:rPr>
      </w:pPr>
      <w:r w:rsidRPr="006B2A59">
        <w:rPr>
          <w:i/>
          <w:color w:val="auto"/>
          <w:lang w:eastAsia="cs-CZ"/>
        </w:rPr>
        <w:t>Štatutárny orgán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787BEF" w:rsidRPr="006B2A59" w:rsidRDefault="00787BEF" w:rsidP="00787BEF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e-mailová adresa:</w:t>
      </w:r>
    </w:p>
    <w:p w:rsidR="00787BEF" w:rsidRPr="007A4D9D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7A4D9D">
        <w:rPr>
          <w:color w:val="auto"/>
          <w:lang w:eastAsia="cs-CZ"/>
        </w:rPr>
        <w:t>(ďalej len „prijímateľ“)</w:t>
      </w:r>
    </w:p>
    <w:p w:rsidR="00787BEF" w:rsidRPr="006B2A59" w:rsidRDefault="00787BEF" w:rsidP="00787BEF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 xml:space="preserve">Alternatíva B – prijímateľ je fyzickou osobou 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e-mailová adresa: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787BEF" w:rsidRPr="006B2A59" w:rsidRDefault="00787BEF" w:rsidP="00787BEF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 :</w:t>
      </w:r>
    </w:p>
    <w:p w:rsidR="00787BEF" w:rsidRPr="006B2A59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IBAN:</w:t>
      </w:r>
    </w:p>
    <w:p w:rsidR="00787BEF" w:rsidRPr="006B2A59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 kód:</w:t>
      </w:r>
    </w:p>
    <w:p w:rsidR="00787BEF" w:rsidRPr="00D72111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D72111">
        <w:rPr>
          <w:color w:val="auto"/>
          <w:lang w:eastAsia="cs-CZ"/>
        </w:rPr>
        <w:lastRenderedPageBreak/>
        <w:t>(ďalej len „prijímateľ“)</w:t>
      </w:r>
    </w:p>
    <w:p w:rsidR="00787BEF" w:rsidRPr="00D72111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Pr="00D72111" w:rsidRDefault="00787BEF" w:rsidP="00787BEF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D72111">
        <w:rPr>
          <w:color w:val="auto"/>
          <w:lang w:eastAsia="cs-CZ"/>
        </w:rPr>
        <w:t>(ďalej spoločne len „zmluvné strany“)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Predmet zmluvy, účel a výška poskytnutej dotácie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787BEF" w:rsidRDefault="00787BEF" w:rsidP="00787BEF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Dotáciu poskytuje Úrad pre Slovákov žijúcich v zahraničí ako súčasť štátnej podpory Slovákov žijúcich v zahraničí na účely financovania aktivít zameraných na podporu Slovákov žijúcich v zahraničí. Predmetom zmluvy o poskytnutí dotácie v pôsobnosti Úradu pre Slovákov žijúcich v zahraničí z rozpočtu Úradu pre Slovákov žijúcich v zahraničí (ďalej len „dotačná zmluva“) je poskytnutie účelovo určených finančných prostriedkov zo štátneho rozpočtu Slovenskej republiky prostredníctvom rozpočtu poskytovateľa (ďalej len „dotácia“) </w:t>
      </w:r>
      <w:r w:rsidRPr="006B2A59">
        <w:rPr>
          <w:b/>
          <w:color w:val="auto"/>
          <w:lang w:eastAsia="cs-CZ"/>
        </w:rPr>
        <w:t>vo výške YYYY,- €</w:t>
      </w:r>
      <w:r w:rsidRPr="006B2A59">
        <w:rPr>
          <w:b/>
          <w:bCs/>
          <w:color w:val="auto"/>
          <w:lang w:eastAsia="cs-CZ"/>
        </w:rPr>
        <w:t xml:space="preserve"> </w:t>
      </w:r>
      <w:r w:rsidRPr="006B2A59">
        <w:rPr>
          <w:color w:val="auto"/>
          <w:lang w:eastAsia="cs-CZ"/>
        </w:rPr>
        <w:t xml:space="preserve">(slovom .......... eur) za </w:t>
      </w:r>
      <w:r w:rsidRPr="006B2A59">
        <w:rPr>
          <w:b/>
          <w:color w:val="auto"/>
          <w:lang w:eastAsia="cs-CZ"/>
        </w:rPr>
        <w:t>účelom</w:t>
      </w:r>
      <w:r w:rsidRPr="006B2A59">
        <w:rPr>
          <w:color w:val="auto"/>
          <w:lang w:eastAsia="cs-CZ"/>
        </w:rPr>
        <w:t xml:space="preserve"> realizácie </w:t>
      </w:r>
      <w:r w:rsidRPr="006B2A59">
        <w:rPr>
          <w:bCs/>
          <w:color w:val="auto"/>
          <w:lang w:eastAsia="cs-CZ"/>
        </w:rPr>
        <w:t xml:space="preserve">projektu s názvom: 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.....................................................................................................................................</w:t>
      </w:r>
      <w:r>
        <w:rPr>
          <w:bCs/>
          <w:color w:val="auto"/>
          <w:lang w:eastAsia="cs-CZ"/>
        </w:rPr>
        <w:t>...........</w:t>
      </w:r>
      <w:r w:rsidRPr="006B2A59">
        <w:rPr>
          <w:bCs/>
          <w:color w:val="auto"/>
          <w:lang w:eastAsia="cs-CZ"/>
        </w:rPr>
        <w:t>..</w:t>
      </w:r>
    </w:p>
    <w:p w:rsidR="00787BEF" w:rsidRDefault="00787BEF" w:rsidP="00787BEF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  <w:r w:rsidRPr="006B2A59">
        <w:rPr>
          <w:b/>
          <w:bCs/>
          <w:i/>
          <w:color w:val="auto"/>
          <w:u w:val="single"/>
          <w:lang w:eastAsia="cs-CZ"/>
        </w:rPr>
        <w:t>Alternatíva A1 – dotačná zmluva na bežné výdavky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na </w:t>
      </w:r>
      <w:r w:rsidRPr="006B2A59">
        <w:rPr>
          <w:b/>
          <w:bCs/>
          <w:color w:val="auto"/>
          <w:lang w:eastAsia="cs-CZ"/>
        </w:rPr>
        <w:t xml:space="preserve">bežné výdavky </w:t>
      </w:r>
      <w:r w:rsidRPr="006B2A59">
        <w:rPr>
          <w:color w:val="auto"/>
          <w:lang w:eastAsia="cs-CZ"/>
        </w:rPr>
        <w:t xml:space="preserve">na úhradu týchto oprávnených </w:t>
      </w:r>
      <w:r w:rsidRPr="006B2A59">
        <w:rPr>
          <w:b/>
          <w:color w:val="auto"/>
          <w:lang w:eastAsia="cs-CZ"/>
        </w:rPr>
        <w:t>účelových položiek</w:t>
      </w:r>
      <w:r w:rsidRPr="006B2A59">
        <w:rPr>
          <w:color w:val="auto"/>
          <w:lang w:eastAsia="cs-CZ"/>
        </w:rPr>
        <w:t>: ..................................</w:t>
      </w:r>
    </w:p>
    <w:p w:rsidR="00787BEF" w:rsidRDefault="00787BEF" w:rsidP="00787BEF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  <w:r w:rsidRPr="006B2A59">
        <w:rPr>
          <w:b/>
          <w:bCs/>
          <w:i/>
          <w:color w:val="auto"/>
          <w:u w:val="single"/>
          <w:lang w:eastAsia="cs-CZ"/>
        </w:rPr>
        <w:t>Alternatíva A2 – dotačná zmluva na kapitálové výdavky</w:t>
      </w:r>
    </w:p>
    <w:p w:rsidR="00787BEF" w:rsidRPr="006B2A59" w:rsidRDefault="00787BEF" w:rsidP="00787BEF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na </w:t>
      </w:r>
      <w:r w:rsidRPr="006B2A59">
        <w:rPr>
          <w:b/>
          <w:bCs/>
          <w:color w:val="auto"/>
          <w:lang w:eastAsia="cs-CZ"/>
        </w:rPr>
        <w:t>kapitálové výdavky</w:t>
      </w:r>
      <w:r w:rsidRPr="006B2A59">
        <w:rPr>
          <w:b/>
          <w:color w:val="auto"/>
          <w:lang w:eastAsia="cs-CZ"/>
        </w:rPr>
        <w:t xml:space="preserve"> </w:t>
      </w:r>
      <w:r w:rsidRPr="006B2A59">
        <w:rPr>
          <w:color w:val="auto"/>
          <w:lang w:eastAsia="cs-CZ"/>
        </w:rPr>
        <w:t xml:space="preserve">na úhradu týchto oprávnených </w:t>
      </w:r>
      <w:r w:rsidRPr="006B2A59">
        <w:rPr>
          <w:b/>
          <w:color w:val="auto"/>
          <w:lang w:eastAsia="cs-CZ"/>
        </w:rPr>
        <w:t>účelových položiek</w:t>
      </w:r>
      <w:r w:rsidRPr="006B2A59">
        <w:rPr>
          <w:color w:val="auto"/>
          <w:lang w:eastAsia="cs-CZ"/>
        </w:rPr>
        <w:t>: ............................</w:t>
      </w:r>
    </w:p>
    <w:p w:rsidR="00787BEF" w:rsidRDefault="00787BEF" w:rsidP="00787BEF">
      <w:pPr>
        <w:tabs>
          <w:tab w:val="left" w:pos="1440"/>
          <w:tab w:val="left" w:pos="1620"/>
        </w:tabs>
        <w:spacing w:after="0" w:line="240" w:lineRule="auto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tabs>
          <w:tab w:val="left" w:pos="1440"/>
          <w:tab w:val="left" w:pos="1620"/>
        </w:tabs>
        <w:spacing w:after="0" w:line="240" w:lineRule="auto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II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Všeobecné podmienky použitia dotácie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787BEF" w:rsidRPr="006B2A59" w:rsidRDefault="00787BEF" w:rsidP="00787BEF">
      <w:pPr>
        <w:pStyle w:val="Odsekzoznamu"/>
        <w:numPr>
          <w:ilvl w:val="0"/>
          <w:numId w:val="1"/>
        </w:numPr>
        <w:tabs>
          <w:tab w:val="left" w:pos="8930"/>
          <w:tab w:val="left" w:pos="9072"/>
        </w:tabs>
        <w:spacing w:after="0" w:line="240" w:lineRule="auto"/>
        <w:ind w:left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Dotácia je účelovo viazaná na realizáciu projektu uvedeného v článku I tejto dotačnej zmluvy. Prijímateľ prijíma dotáciu bez výhrad a za podmienok uvedených v tejto dotačnej zmluve, v Smernici o poskytovaní dotácií v pôsobnosti Úradu pre Slovákov žijúcich v zahraničí (ďalej len „dotačná smernica“) a v Metodickom pokyne predsedu Úradu pre Slovákov žijúcich v zahraničí o poskytovaní dotácií v pôsobnosti Úradu pre Slovákov žijúcich v zahraničí (ďalej len „metodický pokyn“). Prijímateľ sa zaväzuje použiť dotáciu v plnej výške v roku 2014 </w:t>
      </w:r>
      <w:r w:rsidRPr="006B2A59">
        <w:rPr>
          <w:color w:val="auto"/>
          <w:lang w:eastAsia="cs-CZ"/>
        </w:rPr>
        <w:t xml:space="preserve">výlučne </w:t>
      </w:r>
      <w:r w:rsidRPr="006B2A59">
        <w:rPr>
          <w:bCs/>
          <w:color w:val="auto"/>
          <w:lang w:eastAsia="cs-CZ"/>
        </w:rPr>
        <w:t>na realizáciu projektu a oprávnené účelové položky podľa článku I tejto dotačnej zmluvy.</w:t>
      </w:r>
    </w:p>
    <w:p w:rsidR="00787BEF" w:rsidRPr="006B2A59" w:rsidRDefault="00787BEF" w:rsidP="00787BE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color w:val="auto"/>
        </w:rPr>
      </w:pPr>
      <w:r w:rsidRPr="000355EB">
        <w:rPr>
          <w:color w:val="auto"/>
        </w:rPr>
        <w:t xml:space="preserve">Prijímateľ nesmie dotáciu, ani jej časť, previesť na iný subjekt s cieľom úhrady sprostredkovania nákupu tovarov alebo služieb. </w:t>
      </w:r>
      <w:r w:rsidRPr="006B2A59">
        <w:rPr>
          <w:color w:val="auto"/>
        </w:rPr>
        <w:t xml:space="preserve">Prijímateľ môže dotáciu použiť iba za účelom priamej úhrady oprávnených účelových položiek spojených s realizáciou projektu podľa tejto dotačnej zmluvy, v opačnom prípade je povinný dotáciu vrátiť. </w:t>
      </w:r>
    </w:p>
    <w:p w:rsidR="00787BEF" w:rsidRPr="006B2A59" w:rsidRDefault="00787BEF" w:rsidP="00787BE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Dotáciu nemožno poskytnúť ani použiť na:</w:t>
      </w:r>
    </w:p>
    <w:p w:rsidR="00787BEF" w:rsidRPr="006B2A59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416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splácanie úverov, pôžičiek a úrokov z prijatých úverov a pôžičiek,</w:t>
      </w:r>
    </w:p>
    <w:p w:rsidR="00787BEF" w:rsidRPr="006B2A59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41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úhradu záväzkov z predchádzajúcich rokov,</w:t>
      </w:r>
    </w:p>
    <w:p w:rsidR="00787BEF" w:rsidRPr="006B2A59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refundáciu výdavkov uhradených v predchádzajúcich rokoch,</w:t>
      </w:r>
    </w:p>
    <w:p w:rsidR="00787BEF" w:rsidRPr="00652402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color w:val="000000"/>
          <w:sz w:val="24"/>
          <w:szCs w:val="24"/>
        </w:rPr>
        <w:t>úhradu miezd, platov, služobných príjmov ani ostatných osobných vyrovnaní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402">
        <w:rPr>
          <w:rFonts w:ascii="Times New Roman" w:hAnsi="Times New Roman"/>
          <w:sz w:val="24"/>
          <w:szCs w:val="24"/>
        </w:rPr>
        <w:t xml:space="preserve">      </w:t>
      </w:r>
      <w:r w:rsidRPr="00652402">
        <w:rPr>
          <w:rFonts w:ascii="Times New Roman" w:hAnsi="Times New Roman"/>
          <w:color w:val="000000"/>
          <w:sz w:val="24"/>
          <w:szCs w:val="24"/>
        </w:rPr>
        <w:t>s výnimkou platieb za odborné služby,</w:t>
      </w:r>
    </w:p>
    <w:p w:rsidR="00787BEF" w:rsidRPr="00652402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sz w:val="24"/>
          <w:szCs w:val="24"/>
        </w:rPr>
        <w:t>úhradu výdavkov</w:t>
      </w:r>
      <w:r>
        <w:rPr>
          <w:rFonts w:ascii="Times New Roman" w:hAnsi="Times New Roman"/>
          <w:sz w:val="24"/>
          <w:szCs w:val="24"/>
        </w:rPr>
        <w:t>,</w:t>
      </w:r>
      <w:r w:rsidRPr="00652402">
        <w:rPr>
          <w:rFonts w:ascii="Times New Roman" w:hAnsi="Times New Roman"/>
          <w:sz w:val="24"/>
          <w:szCs w:val="24"/>
        </w:rPr>
        <w:t xml:space="preserve"> ktoré nie sú v dotačnej zmluve </w:t>
      </w:r>
      <w:r>
        <w:rPr>
          <w:rFonts w:ascii="Times New Roman" w:hAnsi="Times New Roman"/>
          <w:sz w:val="24"/>
          <w:szCs w:val="24"/>
        </w:rPr>
        <w:t xml:space="preserve">uvedené </w:t>
      </w:r>
      <w:r w:rsidRPr="00652402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oprávnené účelové</w:t>
      </w:r>
      <w:r w:rsidRPr="00652402">
        <w:rPr>
          <w:rFonts w:ascii="Times New Roman" w:hAnsi="Times New Roman"/>
          <w:sz w:val="24"/>
          <w:szCs w:val="24"/>
        </w:rPr>
        <w:t xml:space="preserve"> položk</w:t>
      </w:r>
      <w:r>
        <w:rPr>
          <w:rFonts w:ascii="Times New Roman" w:hAnsi="Times New Roman"/>
          <w:sz w:val="24"/>
          <w:szCs w:val="24"/>
        </w:rPr>
        <w:t>y</w:t>
      </w:r>
      <w:r w:rsidRPr="00652402">
        <w:rPr>
          <w:rFonts w:ascii="Times New Roman" w:hAnsi="Times New Roman"/>
          <w:sz w:val="24"/>
          <w:szCs w:val="24"/>
        </w:rPr>
        <w:t xml:space="preserve"> projektu,</w:t>
      </w:r>
    </w:p>
    <w:p w:rsidR="00787BEF" w:rsidRPr="006B2A59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435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color w:val="000000"/>
          <w:sz w:val="24"/>
          <w:szCs w:val="24"/>
        </w:rPr>
        <w:t>úhradu nájomného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podľa zmluvy o nájme veci s právom kúpy prenajatej veci,</w:t>
      </w:r>
    </w:p>
    <w:p w:rsidR="00787BEF" w:rsidRPr="00CF6FEA" w:rsidRDefault="00787BEF" w:rsidP="00787BEF">
      <w:pPr>
        <w:pStyle w:val="Style8"/>
        <w:numPr>
          <w:ilvl w:val="0"/>
          <w:numId w:val="9"/>
        </w:numPr>
        <w:shd w:val="clear" w:color="auto" w:fill="auto"/>
        <w:tabs>
          <w:tab w:val="left" w:pos="141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úhradu tých položiek projektu, ktoré sú hradené z iných zdrojov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F6FEA" w:rsidRPr="00910D2D" w:rsidRDefault="00CF6FEA" w:rsidP="00CF6FEA">
      <w:pPr>
        <w:pStyle w:val="Style8"/>
        <w:numPr>
          <w:ilvl w:val="0"/>
          <w:numId w:val="9"/>
        </w:numPr>
        <w:shd w:val="clear" w:color="auto" w:fill="auto"/>
        <w:tabs>
          <w:tab w:val="left" w:pos="141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F6FEA">
        <w:rPr>
          <w:rFonts w:ascii="Times New Roman" w:hAnsi="Times New Roman"/>
          <w:sz w:val="24"/>
          <w:szCs w:val="24"/>
        </w:rPr>
        <w:lastRenderedPageBreak/>
        <w:t>úhradu prevádzkových nákladov prijímateľa, ktoré sú priamo spojené s realizáciou projektu podľa dotačnej zmluvy, ak presahujú 10 % z výšky dotácie, pričom úhrada prevádzkových nákladov nesmie presiahnuť sumu 500,- €.</w:t>
      </w:r>
    </w:p>
    <w:p w:rsidR="00787BEF" w:rsidRPr="006B2A59" w:rsidRDefault="00787BEF" w:rsidP="00787BE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Úhrada dane z pridanej hodnoty (ďalej len „DPH“) sa u platiteľov DPH nepovažuje za oprávnený výdavok dotácie, aj keď platiteľ DPH má nárok na jej odpočítanie z vlastnej daňovej povinnosti.</w:t>
      </w:r>
    </w:p>
    <w:p w:rsidR="00787BEF" w:rsidRDefault="00787BEF" w:rsidP="00787BEF">
      <w:p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</w:p>
    <w:p w:rsidR="00787BEF" w:rsidRPr="006B2A59" w:rsidRDefault="00787BEF" w:rsidP="00787BEF">
      <w:p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III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Práva a povinnosti zmluvných strán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787BEF" w:rsidRPr="006B2A59" w:rsidRDefault="00787BEF" w:rsidP="00787BE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bCs/>
          <w:color w:val="auto"/>
        </w:rPr>
        <w:t xml:space="preserve">Prijímateľ je povinný zriadiť si </w:t>
      </w:r>
      <w:r w:rsidRPr="006B2A59">
        <w:rPr>
          <w:color w:val="auto"/>
        </w:rPr>
        <w:t>samostatný bankový účet iba na vedenie dotácie podľa tejto dotačnej zmluvy a viesť dotáciu výlučne na tomto účte. Na tomto účte možno viesť iné finančné prostriedky výlučne na účely úhrady bankových poplatkov súvisiacich s vedením tohto účtu, a to aj pred poskytnutím dotácie. Prijímateľ nie je oprávnený dotáciu previesť z bankového účtu uvedeného v záhlaví tejto dotačnej zmluvy na iný účet s výnimkou čerpania dotácie podľa ods. 3 až 5.</w:t>
      </w:r>
    </w:p>
    <w:p w:rsidR="00787BEF" w:rsidRPr="006B2A59" w:rsidRDefault="00787BEF" w:rsidP="00787BE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>Prijímateľ je povinný vopred informovať poskytovateľa aj cieľovú skupinu projektu o jeho presnom termíne aj mieste konania.</w:t>
      </w:r>
    </w:p>
    <w:p w:rsidR="00787BEF" w:rsidRPr="006B2A59" w:rsidRDefault="00787BEF" w:rsidP="00787BE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>Pod čerpaním sa rozumejú predovšetkým bezhotovostné úhrady oprávnených účelových položiek z účtu prijímateľa uvedeného v záhlaví tejto dotačnej zmluvy. Hotovostné úhrady je prijímateľ oprávnený realizovať len v nevyhnutných prípadoch, ak povaha veci vylučuje bezhotovostnú úhradu z bankového účtu.</w:t>
      </w:r>
    </w:p>
    <w:p w:rsidR="00787BEF" w:rsidRPr="006B2A59" w:rsidRDefault="00787BEF" w:rsidP="00787BE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>Pod čerpaním sa rozumie aj prevod finančných prostriedkov z účtu prijímateľa uvedeného v záhlaví tejto dotačnej zmluvy na iný účet prijímateľa, ak prijímateľ pred poukázaním dotácie na účet uvedený v záhlaví tejto</w:t>
      </w:r>
      <w:r w:rsidRPr="006B2A59">
        <w:t xml:space="preserve"> </w:t>
      </w:r>
      <w:r w:rsidRPr="006B2A59">
        <w:rPr>
          <w:color w:val="auto"/>
        </w:rPr>
        <w:t xml:space="preserve">dotačnej zmluvy uhrádzal z vlastných prostriedkov výdavky, na ktoré sa vzťahuje dotácia, najviac však do výšky určenej v tejto dotačnej zmluve a takto použitých vlastných prostriedkov. Ak bol projekt (alebo jeho časť) ukončený pred podpisom tejto dotačnej zmluvy, pod čerpaním sa rozumie aj úhrada oprávnených účelových položiek projektu podľa čl. I tejto dotačnej zmluvy v hotovosti, ak prijímateľ pred prijatím dotácie uhrádzal z vlastných prostriedkov výdavky projektu, na ktoré sa vzťahuje dotácia, najviac však do výšky </w:t>
      </w:r>
      <w:r>
        <w:rPr>
          <w:color w:val="auto"/>
        </w:rPr>
        <w:t>stanovenej</w:t>
      </w:r>
      <w:r w:rsidRPr="006B2A59">
        <w:rPr>
          <w:color w:val="auto"/>
        </w:rPr>
        <w:t xml:space="preserve"> v tejto dotačnej zmluve.</w:t>
      </w:r>
    </w:p>
    <w:p w:rsidR="00787BEF" w:rsidRPr="006B2A59" w:rsidRDefault="00787BEF" w:rsidP="00787BE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 xml:space="preserve">Čerpaním je aj prevod finančných prostriedkov z účtu prijímateľa uvedeného v záhlaví tejto dotačnej zmluvy na účet inej osoby (napr. dodávateľa tovaru alebo poskytovateľa služby) na základe písomnej zmluvy alebo písomnej objednávky, ak ide o priamu úhradu výdavkov spojených s realizáciou projektu, na ktorý bola dotácia </w:t>
      </w:r>
      <w:r>
        <w:rPr>
          <w:color w:val="auto"/>
        </w:rPr>
        <w:t>poskytnutá</w:t>
      </w:r>
      <w:r w:rsidRPr="006B2A59">
        <w:rPr>
          <w:color w:val="auto"/>
        </w:rPr>
        <w:t>.</w:t>
      </w:r>
    </w:p>
    <w:p w:rsidR="00787BEF" w:rsidRPr="006B2A59" w:rsidRDefault="00787BEF" w:rsidP="00787BE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bCs/>
          <w:color w:val="auto"/>
        </w:rPr>
        <w:t>Po nadobudnutí účinnosti tejto dotačnej zmluvy poskytovateľ bezhotovostným prevodom poukáže dotáciu do 15 kalendárnych dní na účet uvedený v záhlaví tejto dotačnej zmluvy za predpokladu, že sú splnené všetky všeobecné podmienky použitia dotácie uvedené v čl. II tejto dotačnej zmluvy a ďalšie podmienky, ktoré na poskytnutie dotácie stanovuje dotačná smernica a metodický pokyn.</w:t>
      </w:r>
    </w:p>
    <w:p w:rsidR="00787BEF" w:rsidRPr="006B2A59" w:rsidRDefault="00787BEF" w:rsidP="00787BEF">
      <w:pPr>
        <w:shd w:val="clear" w:color="auto" w:fill="FFFFFF"/>
        <w:spacing w:after="0" w:line="240" w:lineRule="auto"/>
        <w:jc w:val="both"/>
        <w:rPr>
          <w:color w:val="auto"/>
        </w:rPr>
      </w:pPr>
    </w:p>
    <w:p w:rsidR="00787BEF" w:rsidRPr="006B2A59" w:rsidRDefault="00787BEF" w:rsidP="00787BEF">
      <w:pPr>
        <w:shd w:val="clear" w:color="auto" w:fill="FFFFFF"/>
        <w:spacing w:after="0" w:line="240" w:lineRule="auto"/>
        <w:jc w:val="both"/>
        <w:rPr>
          <w:b/>
          <w:i/>
          <w:color w:val="auto"/>
          <w:u w:val="single"/>
        </w:rPr>
      </w:pPr>
      <w:r w:rsidRPr="006B2A59">
        <w:rPr>
          <w:b/>
          <w:i/>
          <w:color w:val="auto"/>
          <w:u w:val="single"/>
        </w:rPr>
        <w:t>Alternatíva A2 – len dotačná zmluva na kapitálové výdavky</w:t>
      </w:r>
    </w:p>
    <w:p w:rsidR="00787BEF" w:rsidRPr="006B2A59" w:rsidRDefault="00787BEF" w:rsidP="00787BE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</w:rPr>
      </w:pPr>
      <w:r w:rsidRPr="006B2A59">
        <w:rPr>
          <w:bCs/>
        </w:rPr>
        <w:t xml:space="preserve">Prijímateľ sa zaväzuje, že </w:t>
      </w:r>
      <w:r w:rsidRPr="006B2A59">
        <w:rPr>
          <w:color w:val="auto"/>
        </w:rPr>
        <w:t xml:space="preserve">nevykoná žiadny úkon smerujúci k prevodu vlastníckeho práva alebo zaťaženiu </w:t>
      </w:r>
      <w:r w:rsidRPr="006B2A59">
        <w:rPr>
          <w:bCs/>
        </w:rPr>
        <w:t>zmenenej alebo zrekonštruovanej stavby</w:t>
      </w:r>
      <w:r>
        <w:rPr>
          <w:bCs/>
        </w:rPr>
        <w:t xml:space="preserve"> vecným bremenom</w:t>
      </w:r>
      <w:r w:rsidRPr="006B2A59">
        <w:rPr>
          <w:color w:val="auto"/>
        </w:rPr>
        <w:t>, a to</w:t>
      </w:r>
      <w:r w:rsidRPr="006B2A59">
        <w:rPr>
          <w:bCs/>
        </w:rPr>
        <w:t xml:space="preserve"> najmenej po</w:t>
      </w:r>
      <w:r>
        <w:rPr>
          <w:bCs/>
        </w:rPr>
        <w:t>čas</w:t>
      </w:r>
      <w:r w:rsidRPr="006B2A59">
        <w:rPr>
          <w:bCs/>
        </w:rPr>
        <w:t xml:space="preserve"> dvadsiatich rokov od zmeny alebo rekonštrukcie stavby. Prijímateľ sa tiež zaväzuje, že dokončenú stavbu bude využívať na účel, na ktorý bola dotácia poskytnutá, </w:t>
      </w:r>
      <w:r>
        <w:rPr>
          <w:bCs/>
        </w:rPr>
        <w:t xml:space="preserve">a to </w:t>
      </w:r>
      <w:r w:rsidRPr="006B2A59">
        <w:rPr>
          <w:bCs/>
        </w:rPr>
        <w:t>najmenej po</w:t>
      </w:r>
      <w:r>
        <w:rPr>
          <w:bCs/>
        </w:rPr>
        <w:t>čas</w:t>
      </w:r>
      <w:r w:rsidRPr="006B2A59">
        <w:rPr>
          <w:bCs/>
        </w:rPr>
        <w:t xml:space="preserve"> dvadsiatich rokov od dokončenia stavby, inak je povinný dotáciu vrátiť.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lastRenderedPageBreak/>
        <w:t>Čl. IV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Vyúčtovanie dotácie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Prijímateľ vyúčtuje poskytnutú dotáciu v termíne a spôsobom ustanoveným v tejto dotačnej zmluve a v</w:t>
      </w:r>
      <w:r>
        <w:rPr>
          <w:bCs/>
          <w:color w:val="auto"/>
          <w:lang w:eastAsia="cs-CZ"/>
        </w:rPr>
        <w:t> súlade s</w:t>
      </w:r>
      <w:r w:rsidRPr="006B2A59">
        <w:rPr>
          <w:bCs/>
          <w:color w:val="auto"/>
          <w:lang w:eastAsia="cs-CZ"/>
        </w:rPr>
        <w:t xml:space="preserve"> dotačn</w:t>
      </w:r>
      <w:r>
        <w:rPr>
          <w:bCs/>
          <w:color w:val="auto"/>
          <w:lang w:eastAsia="cs-CZ"/>
        </w:rPr>
        <w:t>ou</w:t>
      </w:r>
      <w:r w:rsidRPr="006B2A59">
        <w:rPr>
          <w:bCs/>
          <w:color w:val="auto"/>
          <w:lang w:eastAsia="cs-CZ"/>
        </w:rPr>
        <w:t xml:space="preserve"> smernic</w:t>
      </w:r>
      <w:r>
        <w:rPr>
          <w:bCs/>
          <w:color w:val="auto"/>
          <w:lang w:eastAsia="cs-CZ"/>
        </w:rPr>
        <w:t>ou</w:t>
      </w:r>
      <w:r w:rsidRPr="006B2A59">
        <w:rPr>
          <w:bCs/>
          <w:color w:val="auto"/>
          <w:lang w:eastAsia="cs-CZ"/>
        </w:rPr>
        <w:t xml:space="preserve"> a metodick</w:t>
      </w:r>
      <w:r>
        <w:rPr>
          <w:bCs/>
          <w:color w:val="auto"/>
          <w:lang w:eastAsia="cs-CZ"/>
        </w:rPr>
        <w:t>ým</w:t>
      </w:r>
      <w:r w:rsidRPr="006B2A59">
        <w:rPr>
          <w:bCs/>
          <w:color w:val="auto"/>
          <w:lang w:eastAsia="cs-CZ"/>
        </w:rPr>
        <w:t xml:space="preserve"> pokyn</w:t>
      </w:r>
      <w:r>
        <w:rPr>
          <w:bCs/>
          <w:color w:val="auto"/>
          <w:lang w:eastAsia="cs-CZ"/>
        </w:rPr>
        <w:t>om</w:t>
      </w:r>
      <w:r w:rsidRPr="006B2A59">
        <w:rPr>
          <w:bCs/>
          <w:color w:val="auto"/>
          <w:lang w:eastAsia="cs-CZ"/>
        </w:rPr>
        <w:t>.</w:t>
      </w: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Prijímateľ je zodpovedný za riadne vedenie čerpania dotácie v účtovnej evidencii, ktorá okrem požiadaviek v zmysle práva, ktorým sa spravuje prijímateľ, musí byť v súlade s požiadavkami na vyúčto</w:t>
      </w:r>
      <w:r>
        <w:rPr>
          <w:bCs/>
          <w:color w:val="auto"/>
          <w:lang w:eastAsia="cs-CZ"/>
        </w:rPr>
        <w:t>vanie dotácie podľa prílohy č. 21</w:t>
      </w:r>
      <w:r w:rsidRPr="006B2A59">
        <w:rPr>
          <w:bCs/>
          <w:color w:val="auto"/>
          <w:lang w:eastAsia="cs-CZ"/>
        </w:rPr>
        <w:t xml:space="preserve"> k</w:t>
      </w:r>
      <w:r>
        <w:rPr>
          <w:bCs/>
          <w:color w:val="auto"/>
          <w:lang w:eastAsia="cs-CZ"/>
        </w:rPr>
        <w:t> metodickému pokynu</w:t>
      </w:r>
      <w:r w:rsidRPr="006B2A59">
        <w:rPr>
          <w:bCs/>
          <w:color w:val="auto"/>
          <w:lang w:eastAsia="cs-CZ"/>
        </w:rPr>
        <w:t xml:space="preserve">. </w:t>
      </w: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Prijímateľ je povinný viesť si účtovnú evidenciu o príjmoch a výdavkoch, o majetku, ako aj o záväzkoch vo vzťahu k úradu tak, aby bolo možné zistiť stav a hodnotu majetku nadobudnutého z dotácie podľa tejto dotačnej zmluvy.</w:t>
      </w: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Vyúčtovanie musí obsahovať tieto samostatné časti:</w:t>
      </w:r>
    </w:p>
    <w:p w:rsidR="00787BEF" w:rsidRPr="006B2A59" w:rsidRDefault="00787BEF" w:rsidP="00787BE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dotácie vo forme originálov alebo kópií účtovných dokladov, ktoré potvrdzujú čerpanie dotácie v súlade s účelom stanoveným v dotačnej zmluve,</w:t>
      </w:r>
    </w:p>
    <w:p w:rsidR="00787BEF" w:rsidRPr="006B2A59" w:rsidRDefault="00787BEF" w:rsidP="00787BE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iných finančných prostriedkov, ktoré prijímateľ získal z ostatných zdrojov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vrátane vlastných, ak je to relevantné,</w:t>
      </w:r>
    </w:p>
    <w:p w:rsidR="00787BEF" w:rsidRPr="006B2A59" w:rsidRDefault="00787BEF" w:rsidP="00787BE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vecné vyhodnotenie projektu,</w:t>
      </w:r>
    </w:p>
    <w:p w:rsidR="00787BEF" w:rsidRPr="006B2A59" w:rsidRDefault="00787BEF" w:rsidP="00787BE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čestné vyhlásenia.</w:t>
      </w: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Vzory dokumentov, ktoré je prijímateľ povinný predložiť poskytovateľovi podľa ods. 4, sú uvedené v prílohách č. </w:t>
      </w:r>
      <w:r>
        <w:rPr>
          <w:color w:val="auto"/>
          <w:lang w:eastAsia="cs-CZ"/>
        </w:rPr>
        <w:t>22, č. 23, č. 24 a č. 25</w:t>
      </w:r>
      <w:r w:rsidRPr="006B2A59">
        <w:rPr>
          <w:color w:val="auto"/>
          <w:lang w:eastAsia="cs-CZ"/>
        </w:rPr>
        <w:t xml:space="preserve"> k metodickému pokynu.</w:t>
      </w: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Poskytnutú dotáciu je prijímateľ povinný použiť </w:t>
      </w:r>
      <w:r w:rsidRPr="00222ABC">
        <w:rPr>
          <w:b/>
          <w:color w:val="auto"/>
          <w:lang w:eastAsia="cs-CZ"/>
        </w:rPr>
        <w:t>do 31.12.2014</w:t>
      </w:r>
      <w:r w:rsidRPr="006B2A59">
        <w:rPr>
          <w:color w:val="auto"/>
          <w:lang w:eastAsia="cs-CZ"/>
        </w:rPr>
        <w:t xml:space="preserve"> a vyúčtovať bezodkladne po ukončení projektu, najneskôr </w:t>
      </w:r>
      <w:r w:rsidRPr="00222ABC">
        <w:rPr>
          <w:b/>
          <w:color w:val="auto"/>
          <w:lang w:eastAsia="cs-CZ"/>
        </w:rPr>
        <w:t>do 31.1.2015</w:t>
      </w:r>
      <w:r w:rsidRPr="006B2A59">
        <w:rPr>
          <w:color w:val="auto"/>
          <w:lang w:eastAsia="cs-CZ"/>
        </w:rPr>
        <w:t>.</w:t>
      </w:r>
      <w:r w:rsidRPr="006B2A59">
        <w:rPr>
          <w:bCs/>
          <w:color w:val="auto"/>
          <w:lang w:eastAsia="cs-CZ"/>
        </w:rPr>
        <w:t xml:space="preserve"> Vyúčtovanie dotácie musí byť podpísané prijímateľom. Pre dodržanie termínu vyúčtovania je rozhodujúci dátum poštovej pečiatky. Správne a včasné vyúčtovanie dotácie je jednou z podmienok pre poskytnutie dotácie v nasledujúcom roku.</w:t>
      </w:r>
    </w:p>
    <w:p w:rsidR="00787BEF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auto"/>
          <w:lang w:eastAsia="cs-CZ"/>
        </w:rPr>
      </w:pPr>
      <w:r w:rsidRPr="00B11DEB">
        <w:rPr>
          <w:color w:val="auto"/>
          <w:lang w:eastAsia="cs-CZ"/>
        </w:rPr>
        <w:t xml:space="preserve">Prijímateľ je povinný vrátiť úradu finančné prostriedky, ktoré nevyčerpal z celkovej sumy poskytnutej dotácie do ukončenia kalendárneho roka, v ktorom bola poskytnutá, a to v termíne do 31.1.2015. Prijímateľ vráti tieto finančné prostriedky bez vyzvania na účet úradu č. </w:t>
      </w:r>
      <w:r w:rsidR="0083365C" w:rsidRPr="00BC1510">
        <w:rPr>
          <w:iCs/>
          <w:color w:val="auto"/>
          <w:lang w:eastAsia="cs-CZ"/>
        </w:rPr>
        <w:t>SK 88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8180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0000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0070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0045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 xml:space="preserve">7360 </w:t>
      </w:r>
      <w:r w:rsidRPr="00B11DEB">
        <w:rPr>
          <w:color w:val="auto"/>
          <w:lang w:eastAsia="cs-CZ"/>
        </w:rPr>
        <w:t>s uvedením variabilného symbolu „14“ a zároveň zašle úradu písomné oznámenie o platbe, a to do 15 kalendárnych dní odo dňa ich vrátenia. Uvedie v ňom označenie prijímateľa, názov projektu a presnú sumu, ktorú úradu vrátil. Vzor platobnej inštrukcie na vrátenie nevyčerpanej dotácie je uvedený v prílohe č. 26 k metodickému pokynu.</w:t>
      </w:r>
    </w:p>
    <w:p w:rsidR="00787BEF" w:rsidRPr="006B2A59" w:rsidRDefault="00787BEF" w:rsidP="00787BE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Prijímateľ je povinný odviesť poskytovateľovi </w:t>
      </w:r>
      <w:r w:rsidRPr="006B2A59">
        <w:rPr>
          <w:iCs/>
          <w:color w:val="auto"/>
          <w:lang w:eastAsia="cs-CZ"/>
        </w:rPr>
        <w:t>všetky výnosy (úroky)</w:t>
      </w:r>
      <w:r w:rsidRPr="006B2A59">
        <w:rPr>
          <w:color w:val="auto"/>
          <w:lang w:eastAsia="cs-CZ"/>
        </w:rPr>
        <w:t xml:space="preserve"> z dotácie, ktorá bola pripísaná na jeho účet, a to v termíne </w:t>
      </w:r>
      <w:r w:rsidRPr="00222ABC">
        <w:rPr>
          <w:b/>
          <w:color w:val="auto"/>
          <w:lang w:eastAsia="cs-CZ"/>
        </w:rPr>
        <w:t>do 31.1.2015</w:t>
      </w:r>
      <w:r w:rsidRPr="006B2A59">
        <w:rPr>
          <w:color w:val="auto"/>
          <w:lang w:eastAsia="cs-CZ"/>
        </w:rPr>
        <w:t xml:space="preserve">. Prijímateľ odvedie tieto finančné prostriedky bez vyzvania na účet poskytovateľa </w:t>
      </w:r>
      <w:r w:rsidRPr="006B2A59">
        <w:rPr>
          <w:iCs/>
          <w:color w:val="auto"/>
          <w:lang w:eastAsia="cs-CZ"/>
        </w:rPr>
        <w:t>č. </w:t>
      </w:r>
      <w:r w:rsidR="0083365C" w:rsidRPr="00BC1510">
        <w:rPr>
          <w:iCs/>
          <w:color w:val="auto"/>
          <w:lang w:eastAsia="cs-CZ"/>
        </w:rPr>
        <w:t>SK 88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8180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0000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0070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>0045</w:t>
      </w:r>
      <w:r w:rsidR="0083365C">
        <w:rPr>
          <w:iCs/>
          <w:color w:val="auto"/>
          <w:lang w:eastAsia="cs-CZ"/>
        </w:rPr>
        <w:t xml:space="preserve"> </w:t>
      </w:r>
      <w:r w:rsidR="0083365C" w:rsidRPr="00BC1510">
        <w:rPr>
          <w:iCs/>
          <w:color w:val="auto"/>
          <w:lang w:eastAsia="cs-CZ"/>
        </w:rPr>
        <w:t xml:space="preserve">7360 </w:t>
      </w:r>
      <w:r w:rsidRPr="006B2A59">
        <w:rPr>
          <w:color w:val="auto"/>
          <w:lang w:eastAsia="cs-CZ"/>
        </w:rPr>
        <w:t xml:space="preserve">s uvedením </w:t>
      </w:r>
      <w:r>
        <w:rPr>
          <w:color w:val="auto"/>
          <w:lang w:eastAsia="cs-CZ"/>
        </w:rPr>
        <w:t xml:space="preserve">variabilného </w:t>
      </w:r>
      <w:r w:rsidRPr="006B2A59">
        <w:rPr>
          <w:color w:val="auto"/>
          <w:lang w:eastAsia="cs-CZ"/>
        </w:rPr>
        <w:t>symbolu „</w:t>
      </w:r>
      <w:r>
        <w:rPr>
          <w:color w:val="auto"/>
          <w:lang w:eastAsia="cs-CZ"/>
        </w:rPr>
        <w:t>14</w:t>
      </w:r>
      <w:r w:rsidRPr="006B2A59">
        <w:rPr>
          <w:color w:val="auto"/>
          <w:lang w:eastAsia="cs-CZ"/>
        </w:rPr>
        <w:t>“ a zároveň zašle poskytovateľovi písomné oznámenie o</w:t>
      </w:r>
      <w:r>
        <w:rPr>
          <w:color w:val="auto"/>
          <w:lang w:eastAsia="cs-CZ"/>
        </w:rPr>
        <w:t> </w:t>
      </w:r>
      <w:r w:rsidRPr="006B2A59">
        <w:rPr>
          <w:color w:val="auto"/>
          <w:lang w:eastAsia="cs-CZ"/>
        </w:rPr>
        <w:t>platbe</w:t>
      </w:r>
      <w:r>
        <w:rPr>
          <w:color w:val="auto"/>
          <w:lang w:eastAsia="cs-CZ"/>
        </w:rPr>
        <w:t>, a to</w:t>
      </w:r>
      <w:r w:rsidRPr="006B2A59">
        <w:rPr>
          <w:color w:val="auto"/>
          <w:lang w:eastAsia="cs-CZ"/>
        </w:rPr>
        <w:t xml:space="preserve"> do 15 kalendárnych dní odo dňa ich vrátenia</w:t>
      </w:r>
      <w:r>
        <w:rPr>
          <w:color w:val="auto"/>
          <w:lang w:eastAsia="cs-CZ"/>
        </w:rPr>
        <w:t>. U</w:t>
      </w:r>
      <w:r w:rsidRPr="006B2A59">
        <w:rPr>
          <w:color w:val="auto"/>
          <w:lang w:eastAsia="cs-CZ"/>
        </w:rPr>
        <w:t xml:space="preserve">vedie </w:t>
      </w:r>
      <w:r>
        <w:rPr>
          <w:color w:val="auto"/>
          <w:lang w:eastAsia="cs-CZ"/>
        </w:rPr>
        <w:t xml:space="preserve">v ňom </w:t>
      </w:r>
      <w:r w:rsidRPr="006B2A59">
        <w:rPr>
          <w:color w:val="auto"/>
          <w:lang w:eastAsia="cs-CZ"/>
        </w:rPr>
        <w:t xml:space="preserve">označenie prijímateľa, názov projektu a presnú sumu, ktorú poskytovateľovi </w:t>
      </w:r>
      <w:r>
        <w:rPr>
          <w:color w:val="auto"/>
          <w:lang w:eastAsia="cs-CZ"/>
        </w:rPr>
        <w:t>vrátil</w:t>
      </w:r>
      <w:r w:rsidRPr="006B2A59">
        <w:rPr>
          <w:color w:val="auto"/>
          <w:lang w:eastAsia="cs-CZ"/>
        </w:rPr>
        <w:t xml:space="preserve">. </w:t>
      </w:r>
      <w:r w:rsidRPr="006B2A59">
        <w:rPr>
          <w:bCs/>
          <w:color w:val="auto"/>
          <w:lang w:eastAsia="cs-CZ"/>
        </w:rPr>
        <w:t xml:space="preserve">Vzor platobnej inštrukcie </w:t>
      </w:r>
      <w:r>
        <w:rPr>
          <w:bCs/>
          <w:color w:val="auto"/>
          <w:lang w:eastAsia="cs-CZ"/>
        </w:rPr>
        <w:t>n</w:t>
      </w:r>
      <w:r w:rsidRPr="006B2A59">
        <w:rPr>
          <w:bCs/>
          <w:color w:val="auto"/>
          <w:lang w:eastAsia="cs-CZ"/>
        </w:rPr>
        <w:t xml:space="preserve">a odvod výnosov je uvedený v prílohe č. </w:t>
      </w:r>
      <w:r>
        <w:rPr>
          <w:bCs/>
          <w:color w:val="auto"/>
          <w:lang w:eastAsia="cs-CZ"/>
        </w:rPr>
        <w:t>27</w:t>
      </w:r>
      <w:r w:rsidRPr="006B2A59">
        <w:rPr>
          <w:bCs/>
          <w:color w:val="auto"/>
          <w:lang w:eastAsia="cs-CZ"/>
        </w:rPr>
        <w:t xml:space="preserve"> k metodickému pokynu.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V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Kontrola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787BEF" w:rsidRPr="006B2A59" w:rsidRDefault="00787BEF" w:rsidP="00787BEF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>Poskytovateľ je oprávnený kedykoľvek vopred, priebežne alebo následne vykonať kontrolu</w:t>
      </w:r>
      <w:r w:rsidRPr="006B2A59">
        <w:rPr>
          <w:bCs/>
          <w:color w:val="auto"/>
          <w:lang w:eastAsia="cs-CZ"/>
        </w:rPr>
        <w:t xml:space="preserve"> dodržania účelu a podmienok podľa tejto dotačnej zmluvy, ako aj správnosti vyúčtovania a realizácie projektu, na ktorý bola dotácia poskytnutá.</w:t>
      </w:r>
    </w:p>
    <w:p w:rsidR="00787BEF" w:rsidRPr="006B2A59" w:rsidRDefault="00787BEF" w:rsidP="00787BEF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lastRenderedPageBreak/>
        <w:t>Poskytovateľ môže požadovať od prijímateľa k nahliadnutiu origináln</w:t>
      </w:r>
      <w:r>
        <w:rPr>
          <w:color w:val="auto"/>
          <w:lang w:eastAsia="cs-CZ"/>
        </w:rPr>
        <w:t>e</w:t>
      </w:r>
      <w:r w:rsidRPr="006B2A59">
        <w:rPr>
          <w:color w:val="auto"/>
          <w:lang w:eastAsia="cs-CZ"/>
        </w:rPr>
        <w:t xml:space="preserve"> doklad</w:t>
      </w:r>
      <w:r>
        <w:rPr>
          <w:color w:val="auto"/>
          <w:lang w:eastAsia="cs-CZ"/>
        </w:rPr>
        <w:t>y,</w:t>
      </w:r>
      <w:r w:rsidRPr="006B2A59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 xml:space="preserve">ktoré </w:t>
      </w:r>
      <w:r w:rsidRPr="006B2A59">
        <w:rPr>
          <w:color w:val="auto"/>
          <w:lang w:eastAsia="cs-CZ"/>
        </w:rPr>
        <w:t>súvisia s dotáciou poskytnutou podľa tejto dotačnej zmluvy</w:t>
      </w:r>
      <w:r>
        <w:rPr>
          <w:color w:val="auto"/>
          <w:lang w:eastAsia="cs-CZ"/>
        </w:rPr>
        <w:t>,</w:t>
      </w:r>
      <w:r w:rsidRPr="006B2A59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 xml:space="preserve">a to </w:t>
      </w:r>
      <w:r w:rsidRPr="006B2A59">
        <w:rPr>
          <w:color w:val="auto"/>
          <w:lang w:eastAsia="cs-CZ"/>
        </w:rPr>
        <w:t>v primeranej lehote určenej poskytovateľom.</w:t>
      </w:r>
    </w:p>
    <w:p w:rsidR="00787BEF" w:rsidRDefault="00787BEF" w:rsidP="00787BEF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6B2A59">
        <w:t>Ak má poskytovateľ dôvodné podozrenie, že prijímateľ použil dotáciu alebo jej časť spôsobom, ktorý nie je v súlade s ustanoveniami tejto dotačnej zmluvy, môže vykonať kontrolu priamo na mieste, vrátane náhodnej kontroly v priestoroch prijímateľa.</w:t>
      </w:r>
    </w:p>
    <w:p w:rsidR="00787BEF" w:rsidRPr="00CA0FF1" w:rsidRDefault="00787BEF" w:rsidP="00787BEF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auto"/>
          <w:lang w:eastAsia="cs-CZ"/>
        </w:rPr>
      </w:pPr>
      <w:r w:rsidRPr="00CA0FF1">
        <w:rPr>
          <w:color w:val="auto"/>
        </w:rPr>
        <w:t>Vykonaním kontroly podľa odsekov 1 až 3 nie sú vo vzťahu k prijímateľovi dotknuté oprávnenia iných kontrolných orgánov, ktoré vykonávajú kontrolu podľa osobitných právnych predpisov Slovenskej republiky.</w:t>
      </w:r>
      <w:r w:rsidRPr="00CA0FF1">
        <w:rPr>
          <w:color w:val="auto"/>
          <w:lang w:eastAsia="cs-CZ"/>
        </w:rPr>
        <w:t xml:space="preserve"> </w:t>
      </w:r>
    </w:p>
    <w:p w:rsidR="00787BEF" w:rsidRDefault="00787BEF" w:rsidP="00787BEF">
      <w:pPr>
        <w:spacing w:after="0" w:line="240" w:lineRule="auto"/>
        <w:jc w:val="both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jc w:val="both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VI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Sankcie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787BEF" w:rsidRPr="006B2A59" w:rsidRDefault="00787BEF" w:rsidP="00787BEF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Prijímateľ je povinný vrátiť poskytovateľovi časť poskytnutej dotácie, ktorá nebola použitá podľa podmienok tejto dotačnej zmluvy, a to vo výške a v lehote, ktorú mu oznámi poskytovateľ vo výzve na vrátenie dotácie.</w:t>
      </w:r>
    </w:p>
    <w:p w:rsidR="00787BEF" w:rsidRPr="006B2A59" w:rsidRDefault="00787BEF" w:rsidP="00787BEF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bCs/>
          <w:color w:val="auto"/>
        </w:rPr>
      </w:pPr>
      <w:r w:rsidRPr="006B2A59">
        <w:t xml:space="preserve">Prijímateľ je povinný vrátiť časť poskytnutej dotácie v zmysle odseku 1 na </w:t>
      </w:r>
      <w:r w:rsidRPr="006B2A59">
        <w:rPr>
          <w:color w:val="auto"/>
        </w:rPr>
        <w:t xml:space="preserve">účet úradu </w:t>
      </w:r>
      <w:r w:rsidRPr="006B2A59">
        <w:rPr>
          <w:iCs/>
          <w:color w:val="auto"/>
        </w:rPr>
        <w:t>č. </w:t>
      </w:r>
      <w:r w:rsidR="00070290" w:rsidRPr="00BC1510">
        <w:rPr>
          <w:iCs/>
          <w:color w:val="auto"/>
          <w:lang w:eastAsia="cs-CZ"/>
        </w:rPr>
        <w:t>SK 88</w:t>
      </w:r>
      <w:r w:rsidR="00070290">
        <w:rPr>
          <w:iCs/>
          <w:color w:val="auto"/>
          <w:lang w:eastAsia="cs-CZ"/>
        </w:rPr>
        <w:t xml:space="preserve"> </w:t>
      </w:r>
      <w:r w:rsidR="00070290" w:rsidRPr="00BC1510">
        <w:rPr>
          <w:iCs/>
          <w:color w:val="auto"/>
          <w:lang w:eastAsia="cs-CZ"/>
        </w:rPr>
        <w:t>8180</w:t>
      </w:r>
      <w:r w:rsidR="00070290">
        <w:rPr>
          <w:iCs/>
          <w:color w:val="auto"/>
          <w:lang w:eastAsia="cs-CZ"/>
        </w:rPr>
        <w:t xml:space="preserve"> </w:t>
      </w:r>
      <w:r w:rsidR="00070290" w:rsidRPr="00BC1510">
        <w:rPr>
          <w:iCs/>
          <w:color w:val="auto"/>
          <w:lang w:eastAsia="cs-CZ"/>
        </w:rPr>
        <w:t>0000</w:t>
      </w:r>
      <w:r w:rsidR="00070290">
        <w:rPr>
          <w:iCs/>
          <w:color w:val="auto"/>
          <w:lang w:eastAsia="cs-CZ"/>
        </w:rPr>
        <w:t xml:space="preserve"> </w:t>
      </w:r>
      <w:r w:rsidR="00070290" w:rsidRPr="00BC1510">
        <w:rPr>
          <w:iCs/>
          <w:color w:val="auto"/>
          <w:lang w:eastAsia="cs-CZ"/>
        </w:rPr>
        <w:t>0070</w:t>
      </w:r>
      <w:r w:rsidR="00070290">
        <w:rPr>
          <w:iCs/>
          <w:color w:val="auto"/>
          <w:lang w:eastAsia="cs-CZ"/>
        </w:rPr>
        <w:t xml:space="preserve"> </w:t>
      </w:r>
      <w:r w:rsidR="00070290" w:rsidRPr="00BC1510">
        <w:rPr>
          <w:iCs/>
          <w:color w:val="auto"/>
          <w:lang w:eastAsia="cs-CZ"/>
        </w:rPr>
        <w:t>0045</w:t>
      </w:r>
      <w:r w:rsidR="00070290">
        <w:rPr>
          <w:iCs/>
          <w:color w:val="auto"/>
          <w:lang w:eastAsia="cs-CZ"/>
        </w:rPr>
        <w:t xml:space="preserve"> </w:t>
      </w:r>
      <w:r w:rsidR="00070290" w:rsidRPr="00BC1510">
        <w:rPr>
          <w:iCs/>
          <w:color w:val="auto"/>
          <w:lang w:eastAsia="cs-CZ"/>
        </w:rPr>
        <w:t>7360</w:t>
      </w:r>
      <w:r w:rsidRPr="006B2A59">
        <w:rPr>
          <w:color w:val="auto"/>
        </w:rPr>
        <w:t>.</w:t>
      </w:r>
      <w:r w:rsidRPr="006B2A59">
        <w:t xml:space="preserve"> </w:t>
      </w:r>
      <w:r w:rsidRPr="006B2A59">
        <w:rPr>
          <w:bCs/>
          <w:color w:val="auto"/>
        </w:rPr>
        <w:t xml:space="preserve">Zároveň je povinný zaslať poskytovateľovi </w:t>
      </w:r>
      <w:r>
        <w:rPr>
          <w:color w:val="auto"/>
        </w:rPr>
        <w:t>písomné oznámenie o platbe</w:t>
      </w:r>
      <w:r w:rsidRPr="006B2A59">
        <w:rPr>
          <w:color w:val="auto"/>
        </w:rPr>
        <w:t xml:space="preserve"> </w:t>
      </w:r>
      <w:r>
        <w:rPr>
          <w:color w:val="auto"/>
        </w:rPr>
        <w:t>podľa v</w:t>
      </w:r>
      <w:r w:rsidRPr="006B2A59">
        <w:rPr>
          <w:bCs/>
          <w:color w:val="auto"/>
        </w:rPr>
        <w:t>zor</w:t>
      </w:r>
      <w:r>
        <w:rPr>
          <w:bCs/>
          <w:color w:val="auto"/>
        </w:rPr>
        <w:t>u</w:t>
      </w:r>
      <w:r w:rsidRPr="006B2A59">
        <w:rPr>
          <w:bCs/>
          <w:color w:val="auto"/>
        </w:rPr>
        <w:t xml:space="preserve"> platobnej inštrukcie v prílohe </w:t>
      </w:r>
      <w:r>
        <w:rPr>
          <w:bCs/>
          <w:color w:val="auto"/>
        </w:rPr>
        <w:t>č. 26</w:t>
      </w:r>
      <w:r w:rsidRPr="006B2A59">
        <w:rPr>
          <w:bCs/>
          <w:color w:val="auto"/>
        </w:rPr>
        <w:t xml:space="preserve"> k metodickému pokynu.</w:t>
      </w:r>
    </w:p>
    <w:p w:rsidR="00787BEF" w:rsidRPr="006B2A59" w:rsidRDefault="00787BEF" w:rsidP="00787BEF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bCs/>
          <w:color w:val="auto"/>
        </w:rPr>
      </w:pPr>
      <w:r w:rsidRPr="006B2A59">
        <w:rPr>
          <w:bCs/>
          <w:color w:val="auto"/>
        </w:rPr>
        <w:t>Ak sa na prijímateľa vzťahuje sankcia podľa odseku 1, môže predseda úradu rozhodnúť o vyradení žiadostí, resp. o neposkytnutí dotácie na iné projekty žiadateľa v tom istom kalendárnom roku, alebo aj na dlhšie obdobie, ak prijímateľ opakovane a/alebo pravidelne porušuje povinnosti vyplývajúce z</w:t>
      </w:r>
      <w:r>
        <w:rPr>
          <w:bCs/>
          <w:color w:val="auto"/>
        </w:rPr>
        <w:t xml:space="preserve"> tejto </w:t>
      </w:r>
      <w:r w:rsidRPr="006B2A59">
        <w:rPr>
          <w:bCs/>
          <w:color w:val="auto"/>
        </w:rPr>
        <w:t>dotačnej zmluvy.</w:t>
      </w:r>
    </w:p>
    <w:p w:rsidR="00787BEF" w:rsidRPr="006B2A59" w:rsidRDefault="00787BEF" w:rsidP="00787BEF">
      <w:pPr>
        <w:pStyle w:val="Odsekzoznamu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</w:rPr>
        <w:t xml:space="preserve">Nárok na náhradu škody prijímateľovi zo strany poskytovateľa nie je ustanoveniami tohto článku dotknutý. </w:t>
      </w:r>
    </w:p>
    <w:p w:rsidR="00787BEF" w:rsidRPr="006B2A59" w:rsidRDefault="00787BEF" w:rsidP="00787BEF">
      <w:pPr>
        <w:spacing w:after="0" w:line="240" w:lineRule="auto"/>
        <w:ind w:left="23"/>
        <w:rPr>
          <w:b/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VII</w:t>
      </w:r>
    </w:p>
    <w:p w:rsidR="00787BEF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Spoločné, prechodné a záverečné ustanovenia</w:t>
      </w:r>
    </w:p>
    <w:p w:rsidR="00787BEF" w:rsidRPr="006B2A59" w:rsidRDefault="00787BEF" w:rsidP="00787BEF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Všetky platby medzi poskytovateľom a prijímateľom podľa tejto dotačnej zmluvy prebiehajú v eurách. Zmena kurzu eura voči cudzej mene prijímateľa má vplyv na výšku dotácie uvedenú v článku I tejto zmluvy len do výšky kurzových rozdielov uznaných poskytovateľom.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Poskytovateľ je oprávnený odstúpiť od tejto dotačnej zmluvy s okamžitou účinnosťou v prípade závažného alebo opakovaného porušenia povinnosti prijímateľa podľa tejto dotačnej zmluvy za podmienky, že prijímateľ nevykoná nápravu ani po písomnom upozornení v dodatočne poskytnutej primeranej lehote, ktorá nesmie byť kratšia ako 30 dní. Za závažné porušenie povinnosti prijímateľa sa považuje najmä, ak:</w:t>
      </w:r>
    </w:p>
    <w:p w:rsidR="00787BEF" w:rsidRPr="006B2A59" w:rsidRDefault="00787BEF" w:rsidP="00787BEF">
      <w:pPr>
        <w:pStyle w:val="Odsekzoznamu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sa preukáže, že údaje v žiadosti a dokladoch, na základe ktorých poskytovateľ rozhodol o poskytnutí dotácie, boli nepravdivé, neúplné, zavádzajúce, pozmenené alebo sfalšované,</w:t>
      </w:r>
    </w:p>
    <w:p w:rsidR="00787BEF" w:rsidRPr="006B2A59" w:rsidRDefault="00787BEF" w:rsidP="00787BEF">
      <w:pPr>
        <w:pStyle w:val="Odsekzoznamu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prijímateľ bezdôvodne pozastaví realizáciu projektu alebo projekt bez súhlasu poskytovateľa nerealizuje v rozsahu podľa tejto dotačnej zmluvy,</w:t>
      </w:r>
    </w:p>
    <w:p w:rsidR="00787BEF" w:rsidRPr="006B2A59" w:rsidRDefault="00787BEF" w:rsidP="00787BEF">
      <w:pPr>
        <w:pStyle w:val="Odsekzoznamu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ak sa právoplatne preukáže spáchanie trestného činu v súvislosti s realizáciou projektu,</w:t>
      </w:r>
    </w:p>
    <w:p w:rsidR="00787BEF" w:rsidRPr="006B2A59" w:rsidRDefault="00787BEF" w:rsidP="00787BEF">
      <w:pPr>
        <w:pStyle w:val="Odsekzoznamu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prijímateľ použije dotáciu alebo jej časť v rozpore s touto dotačnou zmluvou.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Odstúpenie od dotačnej zmluvy je účinné dňom doručenia písomného oznámenia poskytovateľa o odstúpení prijímateľovi.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color w:val="auto"/>
        </w:rPr>
        <w:lastRenderedPageBreak/>
        <w:t>Zmluvné strany budú využívať všetky spôsoby komunikácie s cieľom informovať sa operatívne a efektívne o skutočnostiach súvisiacich s touto dotačnou zmluvou. Úkony smerujúce k zmene a zániku práv a povinností podľa tejto dotačnej zmluvy musia byť doručené doporučenou poštou.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Táto dotačná zmluva sa spravuje právnym poriadkom Slovenskej republiky. Príslušným súdom na prerokovanie prípadných sporov vyplývajúcich z tejto dotačnej zmluvy je súd Slovenskej republiky.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Cudzozemská písomnosť, ktorá nie je opatrená overeným prekladom do slovenského alebo českého jazyka</w:t>
      </w:r>
      <w:r>
        <w:rPr>
          <w:color w:val="auto"/>
        </w:rPr>
        <w:t>,</w:t>
      </w:r>
      <w:r w:rsidRPr="006B2A59">
        <w:rPr>
          <w:color w:val="auto"/>
        </w:rPr>
        <w:t xml:space="preserve"> s výnimkou českých písomností, ktoré prekladať netreba, doručí sa poskytovateľovi, ak je ochotný ju prijať. Ak sa vyžaduje úradne overený preklad do slovenského jazyka, prijímateľ je na požiadanie povinný ho doložiť.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</w:rPr>
      </w:pPr>
      <w:r w:rsidRPr="006B2A59">
        <w:rPr>
          <w:rFonts w:eastAsia="Arial Unicode MS"/>
          <w:color w:val="auto"/>
        </w:rPr>
        <w:t xml:space="preserve">Ak poskytnutie dotácie súvisí </w:t>
      </w:r>
      <w:r w:rsidRPr="006B2A59">
        <w:rPr>
          <w:rFonts w:eastAsia="Arial Unicode MS"/>
        </w:rPr>
        <w:t>s vytvorením autorského diela, je povinnosťou prijímateľa, aby boli chránené práva a oprávnené záujmy autora.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Túto dotačnú zmluvu možno meniť alebo dopĺňať len písomnou dohodou zmluvných strán vo forme číslovaných a podpísaných dodatkov. 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V prípade, ak sa niektoré ustanovenie tejto dotačnej zmluvy stane neplatným, neúčinným alebo nevykonateľným, iné ustanovenia dotačnej zmluvy nie sú tým dotknuté. 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Zmluvné strany sú povinné navzájom si aktualizovať údaje uvedené v záhlaví tejto dotačnej zmluvy.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 xml:space="preserve">Prijímateľ je pri informovaní o projekte povinný prezentovať úrad spôsobom, ktorý je uvedený v prílohe č. </w:t>
      </w:r>
      <w:r>
        <w:rPr>
          <w:color w:val="auto"/>
        </w:rPr>
        <w:t>9 k dotačnej smernici</w:t>
      </w:r>
      <w:r w:rsidRPr="006B2A59">
        <w:rPr>
          <w:color w:val="auto"/>
        </w:rPr>
        <w:t>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>Zmluvné strany vyhlasujú, že si túto dotačnú zmluvu prečítali a s jej obsahom súhlasia, že dotačná zmluva bola uzatvorená podľa ich pravej a slobodnej vôle, určito, vážne a zrozumiteľne, nie v tiesni ani za inak nápadne nevýhodných podmienok.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>Zmluvné strany vyhlasujú, že ich spôsobilosť a voľnosť uzatvoriť túto dotačnú zmluvu, ako aj spôsobilosť k súvisiacim právnym úkonom</w:t>
      </w:r>
      <w:r>
        <w:rPr>
          <w:rFonts w:eastAsia="Arial Unicode MS"/>
          <w:bCs/>
          <w:color w:val="auto"/>
        </w:rPr>
        <w:t>,</w:t>
      </w:r>
      <w:r w:rsidRPr="006B2A59">
        <w:rPr>
          <w:rFonts w:eastAsia="Arial Unicode MS"/>
          <w:bCs/>
          <w:color w:val="auto"/>
        </w:rPr>
        <w:t xml:space="preserve"> nie je žiadnym spôsobom obmedzená alebo vylúčená a zároveň vyhlasujú, že sa oboznámili s obsahom tejto dotačnej zmluvy a na znak súhlasu ju podpisujú.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bCs/>
          <w:color w:val="auto"/>
        </w:rPr>
        <w:t xml:space="preserve">Táto dotačná zmluva je v zmysle § 5a zákona č. 211/2000 Z. z. o slobodnom prístupe k informáciám a o zmene a doplnení niektorých zákonov v znení neskorších predpisov povinne zverejňovanou zmluvou. </w:t>
      </w:r>
      <w:r w:rsidRPr="006B2A59">
        <w:rPr>
          <w:rFonts w:eastAsia="Arial Unicode MS"/>
          <w:color w:val="auto"/>
        </w:rPr>
        <w:t>Táto dotačná zmluva nadobúda platnosť dňom podpisu oprávnených zástupcov zmluvných strán a účinnosť dňom nasledujúcim po dni zverejnenia.</w:t>
      </w:r>
    </w:p>
    <w:p w:rsidR="00787BEF" w:rsidRPr="006B2A59" w:rsidRDefault="00787BEF" w:rsidP="00787BEF">
      <w:pPr>
        <w:pStyle w:val="Odsekzoznamu"/>
        <w:numPr>
          <w:ilvl w:val="0"/>
          <w:numId w:val="6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Táto dotačná zmluva je vyhotovená v štyroch rovnopisoch v slovenskom jazyku, pričom dva rovnopisy dostane poskytovateľ a dva rovnopisy dostane prijímateľ.</w:t>
      </w:r>
    </w:p>
    <w:p w:rsidR="00787BEF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V ........................dňa............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>
        <w:rPr>
          <w:color w:val="auto"/>
          <w:lang w:eastAsia="cs-CZ"/>
        </w:rPr>
        <w:t xml:space="preserve">      </w:t>
      </w:r>
      <w:r>
        <w:rPr>
          <w:color w:val="auto"/>
          <w:lang w:eastAsia="cs-CZ"/>
        </w:rPr>
        <w:tab/>
        <w:t xml:space="preserve">     </w:t>
      </w:r>
      <w:r w:rsidRPr="006B2A59">
        <w:rPr>
          <w:color w:val="auto"/>
          <w:lang w:eastAsia="cs-CZ"/>
        </w:rPr>
        <w:t>V Bratislave dňa</w:t>
      </w:r>
      <w:r>
        <w:rPr>
          <w:color w:val="auto"/>
          <w:lang w:eastAsia="cs-CZ"/>
        </w:rPr>
        <w:t>...........................</w:t>
      </w: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787BEF" w:rsidRPr="006B2A59" w:rsidRDefault="00787BEF" w:rsidP="00787BEF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----------------------------------                               ---------------</w:t>
      </w:r>
      <w:r>
        <w:rPr>
          <w:color w:val="auto"/>
          <w:lang w:eastAsia="cs-CZ"/>
        </w:rPr>
        <w:t>---</w:t>
      </w:r>
      <w:r w:rsidRPr="006B2A59">
        <w:rPr>
          <w:color w:val="auto"/>
          <w:lang w:eastAsia="cs-CZ"/>
        </w:rPr>
        <w:t>------------------------</w:t>
      </w:r>
    </w:p>
    <w:p w:rsidR="00787BEF" w:rsidRPr="006B2A59" w:rsidRDefault="00787BEF" w:rsidP="00787BEF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ab/>
        <w:t xml:space="preserve">      Prijímateľ</w:t>
      </w:r>
      <w:r w:rsidRPr="006B2A59">
        <w:rPr>
          <w:rFonts w:eastAsia="Arial Unicode MS"/>
          <w:color w:val="auto"/>
        </w:rPr>
        <w:tab/>
        <w:t xml:space="preserve">                           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 xml:space="preserve">  </w:t>
      </w:r>
      <w:r w:rsidRPr="006B2A59">
        <w:rPr>
          <w:rFonts w:eastAsia="Arial Unicode MS"/>
          <w:color w:val="auto"/>
        </w:rPr>
        <w:tab/>
      </w:r>
      <w:r>
        <w:rPr>
          <w:rFonts w:eastAsia="Arial Unicode MS"/>
          <w:color w:val="auto"/>
        </w:rPr>
        <w:t xml:space="preserve">   </w:t>
      </w:r>
      <w:r w:rsidRPr="006B2A59">
        <w:rPr>
          <w:rFonts w:eastAsia="Arial Unicode MS"/>
          <w:color w:val="auto"/>
        </w:rPr>
        <w:t>RNDr. Igor Furdík</w:t>
      </w:r>
    </w:p>
    <w:p w:rsidR="00787BEF" w:rsidRPr="006B2A59" w:rsidRDefault="00787BEF" w:rsidP="00787BEF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       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 xml:space="preserve">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>
        <w:rPr>
          <w:rFonts w:eastAsia="Arial Unicode MS"/>
          <w:color w:val="auto"/>
        </w:rPr>
        <w:t xml:space="preserve">       p</w:t>
      </w:r>
      <w:r w:rsidRPr="006B2A59">
        <w:rPr>
          <w:rFonts w:eastAsia="Arial Unicode MS"/>
          <w:color w:val="auto"/>
        </w:rPr>
        <w:t>redseda</w:t>
      </w:r>
    </w:p>
    <w:p w:rsidR="00787BEF" w:rsidRPr="006B2A59" w:rsidRDefault="00787BEF" w:rsidP="00787BEF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  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bCs/>
          <w:color w:val="auto"/>
        </w:rPr>
        <w:t>Úrad pre Slovákov žijúcich v zahraničí</w:t>
      </w:r>
    </w:p>
    <w:p w:rsidR="001018CB" w:rsidRDefault="001018CB"/>
    <w:sectPr w:rsidR="00101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11" w:rsidRDefault="00D72111" w:rsidP="00787BEF">
      <w:pPr>
        <w:spacing w:after="0" w:line="240" w:lineRule="auto"/>
      </w:pPr>
      <w:r>
        <w:separator/>
      </w:r>
    </w:p>
  </w:endnote>
  <w:endnote w:type="continuationSeparator" w:id="0">
    <w:p w:rsidR="00D72111" w:rsidRDefault="00D72111" w:rsidP="007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8287"/>
      <w:docPartObj>
        <w:docPartGallery w:val="Page Numbers (Bottom of Page)"/>
        <w:docPartUnique/>
      </w:docPartObj>
    </w:sdtPr>
    <w:sdtEndPr/>
    <w:sdtContent>
      <w:p w:rsidR="00D72111" w:rsidRDefault="00D721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99">
          <w:rPr>
            <w:noProof/>
          </w:rPr>
          <w:t>1</w:t>
        </w:r>
        <w:r>
          <w:fldChar w:fldCharType="end"/>
        </w:r>
      </w:p>
    </w:sdtContent>
  </w:sdt>
  <w:p w:rsidR="00D72111" w:rsidRDefault="00D721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11" w:rsidRDefault="00D72111" w:rsidP="00787BEF">
      <w:pPr>
        <w:spacing w:after="0" w:line="240" w:lineRule="auto"/>
      </w:pPr>
      <w:r>
        <w:separator/>
      </w:r>
    </w:p>
  </w:footnote>
  <w:footnote w:type="continuationSeparator" w:id="0">
    <w:p w:rsidR="00D72111" w:rsidRDefault="00D72111" w:rsidP="0078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CF6"/>
    <w:multiLevelType w:val="hybridMultilevel"/>
    <w:tmpl w:val="D6D06C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570"/>
    <w:multiLevelType w:val="hybridMultilevel"/>
    <w:tmpl w:val="DFEC23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B86"/>
    <w:multiLevelType w:val="hybridMultilevel"/>
    <w:tmpl w:val="978C6560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B53248"/>
    <w:multiLevelType w:val="hybridMultilevel"/>
    <w:tmpl w:val="495EE9B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FA4483"/>
    <w:multiLevelType w:val="hybridMultilevel"/>
    <w:tmpl w:val="18AE4B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313E"/>
    <w:multiLevelType w:val="hybridMultilevel"/>
    <w:tmpl w:val="A3742F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F0C54"/>
    <w:multiLevelType w:val="hybridMultilevel"/>
    <w:tmpl w:val="60089E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43D6"/>
    <w:multiLevelType w:val="hybridMultilevel"/>
    <w:tmpl w:val="31607802"/>
    <w:lvl w:ilvl="0" w:tplc="7A663C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04AA6"/>
    <w:multiLevelType w:val="hybridMultilevel"/>
    <w:tmpl w:val="A1441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EF"/>
    <w:rsid w:val="00070290"/>
    <w:rsid w:val="001018CB"/>
    <w:rsid w:val="00787BEF"/>
    <w:rsid w:val="007A4D9D"/>
    <w:rsid w:val="0083365C"/>
    <w:rsid w:val="00A536F7"/>
    <w:rsid w:val="00CF6FEA"/>
    <w:rsid w:val="00D57399"/>
    <w:rsid w:val="00D72111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BE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9">
    <w:name w:val="Char Style 9"/>
    <w:basedOn w:val="Predvolenpsmoodseku"/>
    <w:link w:val="Style8"/>
    <w:uiPriority w:val="99"/>
    <w:locked/>
    <w:rsid w:val="00787BEF"/>
    <w:rPr>
      <w:rFonts w:cs="Times New Roman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787BEF"/>
    <w:pPr>
      <w:shd w:val="clear" w:color="auto" w:fill="FFFFFF"/>
      <w:spacing w:before="480" w:after="480" w:line="274" w:lineRule="exact"/>
      <w:ind w:hanging="86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787B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8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BE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BE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BE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9">
    <w:name w:val="Char Style 9"/>
    <w:basedOn w:val="Predvolenpsmoodseku"/>
    <w:link w:val="Style8"/>
    <w:uiPriority w:val="99"/>
    <w:locked/>
    <w:rsid w:val="00787BEF"/>
    <w:rPr>
      <w:rFonts w:cs="Times New Roman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787BEF"/>
    <w:pPr>
      <w:shd w:val="clear" w:color="auto" w:fill="FFFFFF"/>
      <w:spacing w:before="480" w:after="480" w:line="274" w:lineRule="exact"/>
      <w:ind w:hanging="86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787B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8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BE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BE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Koščo</dc:creator>
  <cp:lastModifiedBy>Milan Koščo</cp:lastModifiedBy>
  <cp:revision>2</cp:revision>
  <dcterms:created xsi:type="dcterms:W3CDTF">2014-04-09T13:04:00Z</dcterms:created>
  <dcterms:modified xsi:type="dcterms:W3CDTF">2014-04-09T13:04:00Z</dcterms:modified>
</cp:coreProperties>
</file>